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4B" w:rsidRDefault="007D4EE3" w:rsidP="004D7E4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09</w:t>
      </w:r>
      <w:bookmarkStart w:id="0" w:name="_GoBack"/>
      <w:bookmarkEnd w:id="0"/>
      <w:r w:rsidR="004D7E4B">
        <w:rPr>
          <w:rFonts w:ascii="Times New Roman" w:hAnsi="Times New Roman" w:cs="Times New Roman"/>
          <w:b/>
          <w:sz w:val="24"/>
          <w:szCs w:val="24"/>
        </w:rPr>
        <w:t xml:space="preserve"> от 25.01.2018г   </w:t>
      </w:r>
    </w:p>
    <w:p w:rsidR="004D7E4B" w:rsidRDefault="004D7E4B" w:rsidP="004D7E4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4D7E4B" w:rsidRDefault="004D7E4B" w:rsidP="004D7E4B">
      <w:pPr>
        <w:pStyle w:val="a6"/>
        <w:ind w:firstLine="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E26C83" w:rsidRPr="00E26C83">
        <w:rPr>
          <w:b/>
          <w:sz w:val="24"/>
          <w:szCs w:val="24"/>
        </w:rPr>
        <w:t>Проверка эффективности и целевого использования средств бюджета Томского района муниципальным автономным учреждением</w:t>
      </w:r>
      <w:r w:rsidR="00E26C83">
        <w:rPr>
          <w:b/>
          <w:sz w:val="24"/>
          <w:szCs w:val="24"/>
        </w:rPr>
        <w:t xml:space="preserve"> культуры «Клуб</w:t>
      </w:r>
      <w:r w:rsidR="00E26C83" w:rsidRPr="00E26C83">
        <w:rPr>
          <w:b/>
          <w:sz w:val="24"/>
          <w:szCs w:val="24"/>
        </w:rPr>
        <w:t xml:space="preserve">  с. </w:t>
      </w:r>
      <w:proofErr w:type="spellStart"/>
      <w:r w:rsidR="00E26C83" w:rsidRPr="00E26C83">
        <w:rPr>
          <w:b/>
          <w:sz w:val="24"/>
          <w:szCs w:val="24"/>
        </w:rPr>
        <w:t>Корнилово</w:t>
      </w:r>
      <w:proofErr w:type="spellEnd"/>
      <w:r>
        <w:rPr>
          <w:b/>
          <w:sz w:val="24"/>
          <w:szCs w:val="24"/>
        </w:rPr>
        <w:t>».</w:t>
      </w:r>
    </w:p>
    <w:p w:rsidR="004D7E4B" w:rsidRDefault="004D7E4B" w:rsidP="004D7E4B">
      <w:pPr>
        <w:pStyle w:val="a6"/>
        <w:jc w:val="center"/>
        <w:rPr>
          <w:b/>
          <w:sz w:val="24"/>
          <w:szCs w:val="24"/>
        </w:rPr>
      </w:pPr>
      <w:r>
        <w:rPr>
          <w:b/>
        </w:rPr>
        <w:tab/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b/>
          <w:sz w:val="24"/>
          <w:szCs w:val="24"/>
        </w:rPr>
        <w:t>Основание для проведения контрольного мероприятия:</w:t>
      </w:r>
      <w:r w:rsidRPr="00E26C83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2017 год, утвержденного распоряжением Счетной палаты  от 28.12.2016г. № 16.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b/>
          <w:sz w:val="24"/>
          <w:szCs w:val="24"/>
        </w:rPr>
        <w:t xml:space="preserve">Объект контрольного мероприятия: </w:t>
      </w:r>
      <w:r w:rsidRPr="00E26C83">
        <w:rPr>
          <w:sz w:val="24"/>
          <w:szCs w:val="24"/>
        </w:rPr>
        <w:t xml:space="preserve">муниципальное  автономное учреждение культуры «Клуб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>».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b/>
          <w:sz w:val="24"/>
          <w:szCs w:val="24"/>
        </w:rPr>
        <w:t>Проверяемый период:</w:t>
      </w:r>
      <w:r w:rsidRPr="00E26C83">
        <w:rPr>
          <w:sz w:val="24"/>
          <w:szCs w:val="24"/>
        </w:rPr>
        <w:t xml:space="preserve"> 01.01.2016г – 31.12.2016 года. 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b/>
          <w:sz w:val="24"/>
          <w:szCs w:val="24"/>
        </w:rPr>
        <w:t>Сроки проведения контрольного мероприятия:</w:t>
      </w:r>
      <w:r w:rsidRPr="00E26C83">
        <w:rPr>
          <w:sz w:val="24"/>
          <w:szCs w:val="24"/>
        </w:rPr>
        <w:t xml:space="preserve"> с 20.11.2017г. по 31.12.2017 г. 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E26C83">
        <w:rPr>
          <w:sz w:val="24"/>
          <w:szCs w:val="24"/>
        </w:rPr>
        <w:t>Басировой</w:t>
      </w:r>
      <w:proofErr w:type="spellEnd"/>
      <w:r w:rsidRPr="00E26C83">
        <w:rPr>
          <w:sz w:val="24"/>
          <w:szCs w:val="24"/>
        </w:rPr>
        <w:t xml:space="preserve"> Г.М. в помещении Счетной палаты по адресу: г. Томск,         ул. Карла Маркса, 56.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b/>
          <w:sz w:val="24"/>
          <w:szCs w:val="24"/>
        </w:rPr>
        <w:t xml:space="preserve">Цель контрольного мероприятия: </w:t>
      </w:r>
      <w:r w:rsidRPr="00E26C83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выделенных бюджетному учреждению.</w:t>
      </w:r>
    </w:p>
    <w:p w:rsidR="00E26C83" w:rsidRPr="00E26C83" w:rsidRDefault="00E26C83" w:rsidP="00E26C83">
      <w:pPr>
        <w:pStyle w:val="a6"/>
        <w:rPr>
          <w:b/>
          <w:sz w:val="24"/>
          <w:szCs w:val="24"/>
        </w:rPr>
      </w:pPr>
      <w:r w:rsidRPr="00E26C83">
        <w:rPr>
          <w:b/>
          <w:sz w:val="24"/>
          <w:szCs w:val="24"/>
        </w:rPr>
        <w:t xml:space="preserve">Предмет контрольного мероприятия: </w:t>
      </w:r>
      <w:r w:rsidRPr="00E26C83">
        <w:rPr>
          <w:sz w:val="24"/>
          <w:szCs w:val="24"/>
        </w:rPr>
        <w:t xml:space="preserve">деятельность учреждения (действия должностных лиц) по использованию средств  бюджета Томского района. </w:t>
      </w:r>
    </w:p>
    <w:p w:rsid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Правом первой подписи в проверяемом периоде обладали директор Лесина Ольга Викторовна (приказ № 25-к от 24.09.2014г), правом второй подписи  бухгалтер Моря </w:t>
      </w:r>
      <w:r w:rsidR="002A3439">
        <w:rPr>
          <w:sz w:val="24"/>
          <w:szCs w:val="24"/>
        </w:rPr>
        <w:t xml:space="preserve">  </w:t>
      </w:r>
      <w:r w:rsidRPr="00E26C83">
        <w:rPr>
          <w:sz w:val="24"/>
          <w:szCs w:val="24"/>
        </w:rPr>
        <w:t>Ольга Витальевна (приказ № 27 от 19.10.2015г).</w:t>
      </w:r>
    </w:p>
    <w:p w:rsidR="005C7356" w:rsidRPr="005C7356" w:rsidRDefault="005C7356" w:rsidP="00E26C83">
      <w:pPr>
        <w:pStyle w:val="a6"/>
        <w:rPr>
          <w:sz w:val="24"/>
          <w:szCs w:val="24"/>
        </w:rPr>
      </w:pPr>
      <w:r w:rsidRPr="005C7356">
        <w:rPr>
          <w:b/>
          <w:sz w:val="24"/>
          <w:szCs w:val="24"/>
        </w:rPr>
        <w:t>Объем проверенных средств:</w:t>
      </w:r>
      <w:r>
        <w:rPr>
          <w:b/>
          <w:sz w:val="24"/>
          <w:szCs w:val="24"/>
        </w:rPr>
        <w:t xml:space="preserve">  </w:t>
      </w:r>
      <w:r w:rsidRPr="005C7356">
        <w:rPr>
          <w:sz w:val="24"/>
          <w:szCs w:val="24"/>
        </w:rPr>
        <w:t>1870,3 тыс. рублей.</w:t>
      </w:r>
    </w:p>
    <w:p w:rsidR="00E26C83" w:rsidRPr="00E26C83" w:rsidRDefault="00E26C83" w:rsidP="00E26C83">
      <w:pPr>
        <w:pStyle w:val="a6"/>
        <w:rPr>
          <w:b/>
          <w:sz w:val="24"/>
          <w:szCs w:val="24"/>
        </w:rPr>
      </w:pPr>
      <w:r w:rsidRPr="00E26C83">
        <w:rPr>
          <w:b/>
          <w:sz w:val="24"/>
          <w:szCs w:val="24"/>
        </w:rPr>
        <w:t>Краткая информация о проверяемом объекте: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Муниципальное автономное учреждение культуры "Клуб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 xml:space="preserve">", является правопреемником муниципального бюджетного учреждения культуры «Клуб                                    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 xml:space="preserve">", создано путём изменения типа муниципального бюджетного учреждения. (Далее - МАУК «Клуб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>»).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Учредителем МАУК «Клуб </w:t>
      </w:r>
      <w:proofErr w:type="spellStart"/>
      <w:r w:rsidRPr="00E26C83">
        <w:rPr>
          <w:sz w:val="24"/>
          <w:szCs w:val="24"/>
        </w:rPr>
        <w:t>с</w:t>
      </w:r>
      <w:proofErr w:type="gramStart"/>
      <w:r w:rsidRPr="00E26C83">
        <w:rPr>
          <w:sz w:val="24"/>
          <w:szCs w:val="24"/>
        </w:rPr>
        <w:t>.К</w:t>
      </w:r>
      <w:proofErr w:type="gramEnd"/>
      <w:r w:rsidRPr="00E26C83">
        <w:rPr>
          <w:sz w:val="24"/>
          <w:szCs w:val="24"/>
        </w:rPr>
        <w:t>орнилово</w:t>
      </w:r>
      <w:proofErr w:type="spellEnd"/>
      <w:r w:rsidRPr="00E26C83">
        <w:rPr>
          <w:sz w:val="24"/>
          <w:szCs w:val="24"/>
        </w:rPr>
        <w:t xml:space="preserve">» является Администрация </w:t>
      </w:r>
      <w:proofErr w:type="spellStart"/>
      <w:r w:rsidRPr="00E26C83">
        <w:rPr>
          <w:sz w:val="24"/>
          <w:szCs w:val="24"/>
        </w:rPr>
        <w:t>Корниловского</w:t>
      </w:r>
      <w:proofErr w:type="spellEnd"/>
      <w:r w:rsidRPr="00E26C83">
        <w:rPr>
          <w:sz w:val="24"/>
          <w:szCs w:val="24"/>
        </w:rPr>
        <w:t xml:space="preserve"> сельского поселения,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МАУК «Клуб </w:t>
      </w:r>
      <w:proofErr w:type="spellStart"/>
      <w:r w:rsidRPr="00E26C83">
        <w:rPr>
          <w:sz w:val="24"/>
          <w:szCs w:val="24"/>
        </w:rPr>
        <w:t>с</w:t>
      </w:r>
      <w:proofErr w:type="gramStart"/>
      <w:r w:rsidRPr="00E26C83">
        <w:rPr>
          <w:sz w:val="24"/>
          <w:szCs w:val="24"/>
        </w:rPr>
        <w:t>.К</w:t>
      </w:r>
      <w:proofErr w:type="gramEnd"/>
      <w:r w:rsidRPr="00E26C83">
        <w:rPr>
          <w:sz w:val="24"/>
          <w:szCs w:val="24"/>
        </w:rPr>
        <w:t>орнилово</w:t>
      </w:r>
      <w:proofErr w:type="spellEnd"/>
      <w:r w:rsidRPr="00E26C83">
        <w:rPr>
          <w:sz w:val="24"/>
          <w:szCs w:val="24"/>
        </w:rPr>
        <w:t>» является некоммерческой организацией,  юридическим лицом и от своего имени может приобретать и осуществлять имущественные и личные неимущественные права, нести ответственность, быть истцом и ответчиком в суде.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МАУК «Клуб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>»  вправе открывать счета в кредитных  организациях  и  (или) лицевые счета в финансовых  органах Томского района,</w:t>
      </w:r>
      <w:r w:rsidRPr="00E26C83">
        <w:rPr>
          <w:rStyle w:val="BookAntiqua95pt"/>
          <w:rFonts w:ascii="Times New Roman" w:hAnsi="Times New Roman" w:cs="Times New Roman"/>
          <w:sz w:val="24"/>
          <w:szCs w:val="24"/>
        </w:rPr>
        <w:t xml:space="preserve"> имеет</w:t>
      </w:r>
      <w:r w:rsidRPr="00E26C83">
        <w:rPr>
          <w:i/>
          <w:sz w:val="24"/>
          <w:szCs w:val="24"/>
        </w:rPr>
        <w:t xml:space="preserve"> </w:t>
      </w:r>
      <w:r w:rsidRPr="00E26C83">
        <w:rPr>
          <w:sz w:val="24"/>
          <w:szCs w:val="24"/>
        </w:rPr>
        <w:t>самостоятельный баланс,</w:t>
      </w:r>
      <w:r w:rsidRPr="00E26C83">
        <w:rPr>
          <w:rStyle w:val="1"/>
          <w:rFonts w:ascii="Times New Roman" w:hAnsi="Times New Roman" w:cs="Times New Roman"/>
          <w:sz w:val="24"/>
          <w:szCs w:val="24"/>
        </w:rPr>
        <w:t xml:space="preserve"> печать </w:t>
      </w:r>
      <w:r w:rsidRPr="00E26C83">
        <w:rPr>
          <w:sz w:val="24"/>
          <w:szCs w:val="24"/>
        </w:rPr>
        <w:t>установленного  образца.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Место</w:t>
      </w:r>
      <w:r w:rsidRPr="00E26C83">
        <w:rPr>
          <w:rStyle w:val="BookAntiqua95pt"/>
          <w:rFonts w:ascii="Times New Roman" w:hAnsi="Times New Roman" w:cs="Times New Roman"/>
          <w:sz w:val="24"/>
          <w:szCs w:val="24"/>
        </w:rPr>
        <w:t xml:space="preserve"> </w:t>
      </w:r>
      <w:r w:rsidRPr="00E26C83">
        <w:rPr>
          <w:rStyle w:val="BookAntiqua95pt"/>
          <w:rFonts w:ascii="Times New Roman" w:hAnsi="Times New Roman" w:cs="Times New Roman"/>
          <w:i w:val="0"/>
          <w:sz w:val="24"/>
          <w:szCs w:val="24"/>
        </w:rPr>
        <w:t>нахождения</w:t>
      </w:r>
      <w:r w:rsidRPr="00E26C83">
        <w:rPr>
          <w:sz w:val="24"/>
          <w:szCs w:val="24"/>
        </w:rPr>
        <w:t xml:space="preserve"> МАУК «Клуб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 xml:space="preserve">»: 634533 Томская область, Томский район,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>, улица  Гагарина дом 29а.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МАУК «Клуб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>» создан учредителем  в целях организации досуга и приобщения населения к творчеству, культурному развитию и самообразованию, любительскому искусству и ремёслам.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Целями МАУК «Клуб </w:t>
      </w:r>
      <w:proofErr w:type="spellStart"/>
      <w:r w:rsidRPr="00E26C83">
        <w:rPr>
          <w:sz w:val="24"/>
          <w:szCs w:val="24"/>
        </w:rPr>
        <w:t>с</w:t>
      </w:r>
      <w:proofErr w:type="gramStart"/>
      <w:r w:rsidRPr="00E26C83">
        <w:rPr>
          <w:sz w:val="24"/>
          <w:szCs w:val="24"/>
        </w:rPr>
        <w:t>.К</w:t>
      </w:r>
      <w:proofErr w:type="gramEnd"/>
      <w:r w:rsidRPr="00E26C83">
        <w:rPr>
          <w:sz w:val="24"/>
          <w:szCs w:val="24"/>
        </w:rPr>
        <w:t>орнилово</w:t>
      </w:r>
      <w:proofErr w:type="spellEnd"/>
      <w:r w:rsidRPr="00E26C83">
        <w:rPr>
          <w:sz w:val="24"/>
          <w:szCs w:val="24"/>
        </w:rPr>
        <w:t>» являются;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lastRenderedPageBreak/>
        <w:t xml:space="preserve">- создание благоприятных условий для организации культурного досуга и отдыха жителей </w:t>
      </w:r>
      <w:proofErr w:type="spellStart"/>
      <w:r w:rsidRPr="00E26C83">
        <w:rPr>
          <w:sz w:val="24"/>
          <w:szCs w:val="24"/>
        </w:rPr>
        <w:t>Корниловского</w:t>
      </w:r>
      <w:proofErr w:type="spellEnd"/>
      <w:r w:rsidRPr="00E26C83">
        <w:rPr>
          <w:sz w:val="24"/>
          <w:szCs w:val="24"/>
        </w:rPr>
        <w:t xml:space="preserve"> сельского поселения;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- предоставление услуг социально-культурного, просветительского и развлекательного характера, доступных для широких слоев населения;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МАУК «Клуб </w:t>
      </w:r>
      <w:proofErr w:type="spellStart"/>
      <w:r w:rsidRPr="00E26C83">
        <w:rPr>
          <w:sz w:val="24"/>
          <w:szCs w:val="24"/>
        </w:rPr>
        <w:t>с</w:t>
      </w:r>
      <w:proofErr w:type="gramStart"/>
      <w:r w:rsidRPr="00E26C83">
        <w:rPr>
          <w:sz w:val="24"/>
          <w:szCs w:val="24"/>
        </w:rPr>
        <w:t>.К</w:t>
      </w:r>
      <w:proofErr w:type="gramEnd"/>
      <w:r w:rsidRPr="00E26C83">
        <w:rPr>
          <w:sz w:val="24"/>
          <w:szCs w:val="24"/>
        </w:rPr>
        <w:t>орнилово</w:t>
      </w:r>
      <w:proofErr w:type="spellEnd"/>
      <w:r w:rsidRPr="00E26C83">
        <w:rPr>
          <w:sz w:val="24"/>
          <w:szCs w:val="24"/>
        </w:rPr>
        <w:t>» осуществляет свою деятельность в соответствии с муниципальными  заданиями, сформированными и утвержденными учредителем.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МАУК «Клуб </w:t>
      </w:r>
      <w:proofErr w:type="spellStart"/>
      <w:r w:rsidRPr="00E26C83">
        <w:rPr>
          <w:sz w:val="24"/>
          <w:szCs w:val="24"/>
        </w:rPr>
        <w:t>с</w:t>
      </w:r>
      <w:proofErr w:type="gramStart"/>
      <w:r w:rsidRPr="00E26C83">
        <w:rPr>
          <w:sz w:val="24"/>
          <w:szCs w:val="24"/>
        </w:rPr>
        <w:t>.К</w:t>
      </w:r>
      <w:proofErr w:type="gramEnd"/>
      <w:r w:rsidRPr="00E26C83">
        <w:rPr>
          <w:sz w:val="24"/>
          <w:szCs w:val="24"/>
        </w:rPr>
        <w:t>орнилово</w:t>
      </w:r>
      <w:proofErr w:type="spellEnd"/>
      <w:r w:rsidRPr="00E26C83">
        <w:rPr>
          <w:sz w:val="24"/>
          <w:szCs w:val="24"/>
        </w:rPr>
        <w:t>» может осуществлять предпринимательскую деятельность лишь постольку, поскольку это служит достижению целей, ради которых оно создано и соответствующую этим целям.</w:t>
      </w:r>
    </w:p>
    <w:p w:rsidR="00E26C83" w:rsidRPr="00E26C83" w:rsidRDefault="00E26C83" w:rsidP="00E26C83">
      <w:pPr>
        <w:pStyle w:val="a6"/>
        <w:rPr>
          <w:bCs/>
          <w:sz w:val="24"/>
          <w:szCs w:val="24"/>
        </w:rPr>
      </w:pPr>
      <w:r w:rsidRPr="00E26C83">
        <w:rPr>
          <w:b/>
          <w:bCs/>
          <w:sz w:val="24"/>
          <w:szCs w:val="24"/>
        </w:rPr>
        <w:t>Реквизиты учреждения:</w:t>
      </w:r>
      <w:r w:rsidRPr="00E26C83">
        <w:rPr>
          <w:bCs/>
          <w:sz w:val="24"/>
          <w:szCs w:val="24"/>
        </w:rPr>
        <w:t xml:space="preserve"> ИНН 7014044868 КПП 701401001 ОГРН 1067014011790</w:t>
      </w:r>
    </w:p>
    <w:p w:rsidR="00E26C83" w:rsidRPr="00E26C83" w:rsidRDefault="00E26C83" w:rsidP="00E26C83">
      <w:pPr>
        <w:pStyle w:val="a6"/>
        <w:rPr>
          <w:bCs/>
          <w:sz w:val="24"/>
          <w:szCs w:val="24"/>
        </w:rPr>
      </w:pPr>
      <w:r w:rsidRPr="00E26C83">
        <w:rPr>
          <w:bCs/>
          <w:sz w:val="24"/>
          <w:szCs w:val="24"/>
        </w:rPr>
        <w:t xml:space="preserve">ЛА1109000038 в Управлении финансов Администрации Томского района. л/сч02653005180 в УФК по Томской области, </w:t>
      </w:r>
      <w:proofErr w:type="gramStart"/>
      <w:r w:rsidRPr="00E26C83">
        <w:rPr>
          <w:bCs/>
          <w:sz w:val="24"/>
          <w:szCs w:val="24"/>
        </w:rPr>
        <w:t>р</w:t>
      </w:r>
      <w:proofErr w:type="gramEnd"/>
      <w:r w:rsidRPr="00E26C83">
        <w:rPr>
          <w:bCs/>
          <w:sz w:val="24"/>
          <w:szCs w:val="24"/>
        </w:rPr>
        <w:t>/сч.40701810900003000045 в отделении Томск г. Томска БИК 046902001 ОКАТО 69254836000 ОКТМО 69654436.</w:t>
      </w:r>
    </w:p>
    <w:p w:rsidR="00E26C83" w:rsidRPr="00E26C83" w:rsidRDefault="00E26C83" w:rsidP="00E26C83">
      <w:pPr>
        <w:pStyle w:val="a6"/>
        <w:rPr>
          <w:b/>
          <w:sz w:val="24"/>
          <w:szCs w:val="24"/>
        </w:rPr>
      </w:pPr>
      <w:r w:rsidRPr="00E26C83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bCs/>
          <w:sz w:val="24"/>
          <w:szCs w:val="24"/>
        </w:rPr>
        <w:t>3. Гражданский кодекс РФ</w:t>
      </w:r>
      <w:r w:rsidRPr="00E26C83">
        <w:rPr>
          <w:sz w:val="24"/>
          <w:szCs w:val="24"/>
        </w:rPr>
        <w:t xml:space="preserve"> от 30.11.1994 № 51-ФЗ (с изменениями и дополнениями);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7.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Правительства Российской Федерации от 28 декабря 2012 г. № 2606-р (далее – «Дорожная карта»); 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 xml:space="preserve">8.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Администрации Томской области от 01.03.2013г № 136-ра (с изменениями); 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9. Постановление Администрации Томской области от 04.12.2009г № 192а «Об утверждении положения о системе оплаты труда работников областных государственных учреждений, находящихся в ведении Департамента по культуре Томской области и о внесении изменений в постановление Администрации Томской области от 27.04.2009г                 № 80-а» (с изменениями).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10. Постановление Администрации Томской области от 13.05.2010г № 94а «О порядке предоставления из областного бюджета субсидий бюджетам муниципальных образований Томской области и их расходования» (с изменениями).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11.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lastRenderedPageBreak/>
        <w:t>12.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применению» (далее - Приказ 52н);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13.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E26C83" w:rsidRPr="00E26C83" w:rsidRDefault="00E26C83" w:rsidP="00E26C83">
      <w:pPr>
        <w:pStyle w:val="a6"/>
        <w:rPr>
          <w:sz w:val="24"/>
          <w:szCs w:val="24"/>
        </w:rPr>
      </w:pPr>
      <w:r w:rsidRPr="00E26C83">
        <w:rPr>
          <w:sz w:val="24"/>
          <w:szCs w:val="24"/>
        </w:rPr>
        <w:t>14.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E26C83" w:rsidRPr="00E26C83" w:rsidRDefault="00E26C83" w:rsidP="00E26C83">
      <w:pPr>
        <w:pStyle w:val="a6"/>
        <w:rPr>
          <w:color w:val="000000"/>
          <w:sz w:val="24"/>
          <w:szCs w:val="24"/>
          <w:lang w:eastAsia="ar-SA"/>
        </w:rPr>
      </w:pPr>
      <w:r w:rsidRPr="00E26C83">
        <w:rPr>
          <w:sz w:val="24"/>
          <w:szCs w:val="24"/>
        </w:rPr>
        <w:t xml:space="preserve">15. Устав муниципального автономного  учреждения культуры  «Клуб с. </w:t>
      </w:r>
      <w:proofErr w:type="spellStart"/>
      <w:r w:rsidRPr="00E26C83">
        <w:rPr>
          <w:sz w:val="24"/>
          <w:szCs w:val="24"/>
        </w:rPr>
        <w:t>Корнилово</w:t>
      </w:r>
      <w:proofErr w:type="spellEnd"/>
      <w:r w:rsidRPr="00E26C83">
        <w:rPr>
          <w:sz w:val="24"/>
          <w:szCs w:val="24"/>
        </w:rPr>
        <w:t>», зарегистрированный в ИФНС России по Томскому району 26.02.2006г за ОГРН 1067014011790.</w:t>
      </w:r>
      <w:r w:rsidRPr="00E26C83">
        <w:rPr>
          <w:color w:val="000000"/>
          <w:sz w:val="24"/>
          <w:szCs w:val="24"/>
          <w:lang w:eastAsia="ar-SA"/>
        </w:rPr>
        <w:t xml:space="preserve"> </w:t>
      </w:r>
    </w:p>
    <w:p w:rsidR="004D7E4B" w:rsidRDefault="004D7E4B" w:rsidP="004D7E4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мероприятия: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>1. Нецелевого использования средств субсидии на выполнение муниципального задания и субсидий на иные цели не выявлено.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2. При проверке выполнения муниципального задания установлено, что оно  не соответствует установленной постановлением Администрации  </w:t>
      </w:r>
      <w:proofErr w:type="spellStart"/>
      <w:r w:rsidRPr="00687AF8">
        <w:rPr>
          <w:sz w:val="24"/>
          <w:szCs w:val="24"/>
        </w:rPr>
        <w:t>Корниловского</w:t>
      </w:r>
      <w:proofErr w:type="spellEnd"/>
      <w:r w:rsidRPr="00687AF8">
        <w:rPr>
          <w:sz w:val="24"/>
          <w:szCs w:val="24"/>
        </w:rPr>
        <w:t xml:space="preserve"> сельского поселения  от 14.03.2012г № 82 форме. 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Муниципальное задание не содержит информации о потребителях муниципальной услуги, объем муниципальной услуги (в натуральных показателях) содержит только показатель «количество зарегистрированных пользователей» и «количество культурно-массовых мероприятий». Значения показателей качества оказываемой муниципальной услуги, утвержденные в муниципальном задании, ничтожны: 0,01%,  0,26%, 1,0%, 1,6%. Количество зарегистрированных пользователей библиотеки на 31.12.2015г составляло 241 человек, в муниципальном задании на 01.01.2016 год – 245 человек. Количество культурно-массовых мероприятий в клубе на 31.01.2015г указано 80 единиц, в муниципальном задании на 01.01.2016 год – 85. 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Не определен порядок оказания муниципальной услуги, нет информации  о нормативных правовых актах, регулирующих порядок оказания муниципальной услуги. Нет информации о порядке информирования потенциальных потребителей муниципальной услуги. Не определен порядок </w:t>
      </w:r>
      <w:proofErr w:type="gramStart"/>
      <w:r w:rsidRPr="00687AF8">
        <w:rPr>
          <w:sz w:val="24"/>
          <w:szCs w:val="24"/>
        </w:rPr>
        <w:t>контроля за</w:t>
      </w:r>
      <w:proofErr w:type="gramEnd"/>
      <w:r w:rsidRPr="00687AF8">
        <w:rPr>
          <w:sz w:val="24"/>
          <w:szCs w:val="24"/>
        </w:rPr>
        <w:t xml:space="preserve"> исполнением муниципального задания, требования к отчетности, сроки представления отчетов и форма отчета об исполнении муниципального задания. Отсутствует дата подписания муниципального задания руководителем.</w:t>
      </w:r>
    </w:p>
    <w:p w:rsidR="00687AF8" w:rsidRPr="00687AF8" w:rsidRDefault="00687AF8" w:rsidP="00687AF8">
      <w:pPr>
        <w:pStyle w:val="a6"/>
        <w:rPr>
          <w:rFonts w:eastAsiaTheme="minorHAnsi"/>
          <w:sz w:val="24"/>
          <w:szCs w:val="24"/>
          <w:lang w:eastAsia="en-US"/>
        </w:rPr>
      </w:pPr>
      <w:r w:rsidRPr="00687AF8">
        <w:rPr>
          <w:rFonts w:eastAsiaTheme="minorHAnsi"/>
          <w:sz w:val="24"/>
          <w:szCs w:val="24"/>
          <w:lang w:eastAsia="en-US"/>
        </w:rPr>
        <w:t xml:space="preserve">В нарушение Требований № 72 информация о государственном (муниципальном) задании опубликована на официальном сайте </w:t>
      </w:r>
      <w:proofErr w:type="spellStart"/>
      <w:r w:rsidRPr="00687AF8">
        <w:rPr>
          <w:sz w:val="24"/>
          <w:szCs w:val="24"/>
        </w:rPr>
        <w:t>bus</w:t>
      </w:r>
      <w:proofErr w:type="spellEnd"/>
      <w:r w:rsidRPr="00687AF8">
        <w:rPr>
          <w:sz w:val="24"/>
          <w:szCs w:val="24"/>
        </w:rPr>
        <w:t>.</w:t>
      </w:r>
      <w:proofErr w:type="spellStart"/>
      <w:r w:rsidRPr="00687AF8">
        <w:rPr>
          <w:sz w:val="24"/>
          <w:szCs w:val="24"/>
          <w:lang w:val="en-US"/>
        </w:rPr>
        <w:t>gov</w:t>
      </w:r>
      <w:proofErr w:type="spellEnd"/>
      <w:r w:rsidRPr="00687AF8">
        <w:rPr>
          <w:sz w:val="24"/>
          <w:szCs w:val="24"/>
        </w:rPr>
        <w:t>.</w:t>
      </w:r>
      <w:proofErr w:type="spellStart"/>
      <w:r w:rsidRPr="00687AF8">
        <w:rPr>
          <w:sz w:val="24"/>
          <w:szCs w:val="24"/>
        </w:rPr>
        <w:t>ru</w:t>
      </w:r>
      <w:proofErr w:type="spellEnd"/>
      <w:r w:rsidRPr="00687AF8">
        <w:rPr>
          <w:rFonts w:eastAsiaTheme="minorHAnsi"/>
          <w:sz w:val="24"/>
          <w:szCs w:val="24"/>
          <w:lang w:eastAsia="en-US"/>
        </w:rPr>
        <w:t xml:space="preserve"> с нарушением срока 07.04.2016г.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rFonts w:eastAsiaTheme="minorHAnsi"/>
          <w:bCs/>
          <w:sz w:val="24"/>
          <w:szCs w:val="24"/>
          <w:lang w:eastAsia="en-US"/>
        </w:rPr>
        <w:t xml:space="preserve">Нарушение </w:t>
      </w:r>
      <w:hyperlink r:id="rId7" w:history="1">
        <w:r w:rsidRPr="00687AF8">
          <w:rPr>
            <w:rFonts w:eastAsiaTheme="minorHAnsi"/>
            <w:bCs/>
            <w:sz w:val="24"/>
            <w:szCs w:val="24"/>
            <w:lang w:eastAsia="en-US"/>
          </w:rPr>
          <w:t>порядка</w:t>
        </w:r>
      </w:hyperlink>
      <w:r w:rsidRPr="00687AF8">
        <w:rPr>
          <w:rFonts w:eastAsiaTheme="minorHAnsi"/>
          <w:bCs/>
          <w:sz w:val="24"/>
          <w:szCs w:val="24"/>
          <w:lang w:eastAsia="en-US"/>
        </w:rPr>
        <w:t xml:space="preserve"> формирования и (или) финансового обеспечения выполнения муниципального задания  </w:t>
      </w:r>
      <w:r w:rsidRPr="00687AF8">
        <w:rPr>
          <w:sz w:val="24"/>
          <w:szCs w:val="24"/>
        </w:rPr>
        <w:t xml:space="preserve">в соответствии со статьей 15.15.5 Кодекса об административных правонарушениях влечет наложение административного штрафа на должностных лиц в размере от десяти тысяч до тридцати тысяч рублей. Протокол об административном нарушении не составлен, т.к. на момент проверки истек срок привлечения должностного лица к административной ответственности. 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3. Отчет об исполнении плана   финансово-хозяйственной деятельности учреждения за 2016 год  в нарушение </w:t>
      </w:r>
      <w:r w:rsidRPr="00687AF8">
        <w:rPr>
          <w:rFonts w:eastAsiaTheme="minorHAnsi"/>
          <w:sz w:val="24"/>
          <w:szCs w:val="24"/>
        </w:rPr>
        <w:t xml:space="preserve">Требований  № 72   </w:t>
      </w:r>
      <w:r w:rsidRPr="00687AF8">
        <w:rPr>
          <w:sz w:val="24"/>
          <w:szCs w:val="24"/>
        </w:rPr>
        <w:t>на официальном сайте bus.gov.ru  не размещен.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lastRenderedPageBreak/>
        <w:t xml:space="preserve">4. Отчет МАУК «Клуб с. </w:t>
      </w:r>
      <w:proofErr w:type="spellStart"/>
      <w:r w:rsidRPr="00687AF8">
        <w:rPr>
          <w:sz w:val="24"/>
          <w:szCs w:val="24"/>
        </w:rPr>
        <w:t>Корнилово</w:t>
      </w:r>
      <w:proofErr w:type="spellEnd"/>
      <w:r w:rsidRPr="00687AF8">
        <w:rPr>
          <w:sz w:val="24"/>
          <w:szCs w:val="24"/>
        </w:rPr>
        <w:t>»  о результатах деятельности  и об использовании закрепленного за ним муниципального  имущества на проверку не представлен.  Отчет о результатах деятельности и использовании закрепленного за учреждением   имущества за 2016 год  на официальном сайте bus.gov.ru не размещен.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5. </w:t>
      </w:r>
      <w:proofErr w:type="gramStart"/>
      <w:r w:rsidRPr="00687AF8">
        <w:rPr>
          <w:sz w:val="24"/>
          <w:szCs w:val="24"/>
        </w:rPr>
        <w:t xml:space="preserve">В нарушение требований пункта 6.1 порядка определения объема и условий предоставления из бюджета </w:t>
      </w:r>
      <w:proofErr w:type="spellStart"/>
      <w:r w:rsidRPr="00687AF8">
        <w:rPr>
          <w:sz w:val="24"/>
          <w:szCs w:val="24"/>
        </w:rPr>
        <w:t>Корниловского</w:t>
      </w:r>
      <w:proofErr w:type="spellEnd"/>
      <w:r w:rsidRPr="00687AF8">
        <w:rPr>
          <w:sz w:val="24"/>
          <w:szCs w:val="24"/>
        </w:rPr>
        <w:t xml:space="preserve"> сельского поселения субсидий муниципальным бюджетным и автономным учреждениям Администрацией сельского поселения, осуществляющей функции и полномочия учредителя МАУК «Клуб с. </w:t>
      </w:r>
      <w:proofErr w:type="spellStart"/>
      <w:r w:rsidRPr="00687AF8">
        <w:rPr>
          <w:sz w:val="24"/>
          <w:szCs w:val="24"/>
        </w:rPr>
        <w:t>Корнилово</w:t>
      </w:r>
      <w:proofErr w:type="spellEnd"/>
      <w:r w:rsidRPr="00687AF8">
        <w:rPr>
          <w:sz w:val="24"/>
          <w:szCs w:val="24"/>
        </w:rPr>
        <w:t xml:space="preserve">», была выделена субсидия на иные цели в размере 230,0 тыс. рублей без заключения соглашения с автономным учреждением. </w:t>
      </w:r>
      <w:proofErr w:type="gramEnd"/>
    </w:p>
    <w:p w:rsidR="00687AF8" w:rsidRPr="00687AF8" w:rsidRDefault="00687AF8" w:rsidP="00687AF8">
      <w:pPr>
        <w:pStyle w:val="a6"/>
        <w:rPr>
          <w:sz w:val="24"/>
          <w:szCs w:val="24"/>
        </w:rPr>
      </w:pPr>
      <w:proofErr w:type="gramStart"/>
      <w:r w:rsidRPr="00687AF8">
        <w:rPr>
          <w:sz w:val="24"/>
          <w:szCs w:val="24"/>
        </w:rPr>
        <w:t>Нарушение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 в соответствии со статьей 15.15.5 Кодекса об административных правонарушениях 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лет.</w:t>
      </w:r>
      <w:proofErr w:type="gramEnd"/>
      <w:r w:rsidRPr="00687AF8">
        <w:rPr>
          <w:sz w:val="24"/>
          <w:szCs w:val="24"/>
        </w:rPr>
        <w:t xml:space="preserve"> Протокол об административном нарушении не составлен, т.к. на момент проверки истек срок привлечения должностного лица к административной ответственности. 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>6. На официальном сайте bus.gov.ru  первоначальная информация  об операциях с целевыми субсидиями в нарушение Требований № 72 размещена с нарушением сроков, информация об изменениях сведений об операциях с целевыми субсидиями за 2016 год на официальном сайте  bus.gov.ru  не размещена.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7. В ходе проведения проверки установлено, что представленная на проверку  учётная политика МАУК «Клуб с. </w:t>
      </w:r>
      <w:proofErr w:type="spellStart"/>
      <w:r w:rsidRPr="00687AF8">
        <w:rPr>
          <w:sz w:val="24"/>
          <w:szCs w:val="24"/>
        </w:rPr>
        <w:t>Корнилово</w:t>
      </w:r>
      <w:proofErr w:type="spellEnd"/>
      <w:r w:rsidRPr="00687AF8">
        <w:rPr>
          <w:sz w:val="24"/>
          <w:szCs w:val="24"/>
        </w:rPr>
        <w:t>» по бухгалтерскому  учёту, утвержденная приказом от 01.11.2014г № 18, требует доработки. В учетной политике отсутствует приложение 1 «План счетов бюджетного учета», график документооборота, перечень  должностей сотрудников, с которыми заключается договор о полной материальной ответственности. Не утвержден порядок проведения инвентаризации имущества, финансовых активов и обязательств.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8. В нарушение п. 2.4. Методических указаний материально ответственное лицо </w:t>
      </w:r>
      <w:proofErr w:type="spellStart"/>
      <w:r w:rsidRPr="00687AF8">
        <w:rPr>
          <w:sz w:val="24"/>
          <w:szCs w:val="24"/>
        </w:rPr>
        <w:t>Ромашина</w:t>
      </w:r>
      <w:proofErr w:type="spellEnd"/>
      <w:r w:rsidRPr="00687AF8">
        <w:rPr>
          <w:sz w:val="24"/>
          <w:szCs w:val="24"/>
        </w:rPr>
        <w:t xml:space="preserve"> Л.П. не  дала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ее ответственность, оприходованы, а выбывшие списаны в расход. </w:t>
      </w:r>
    </w:p>
    <w:p w:rsidR="00687AF8" w:rsidRPr="00687AF8" w:rsidRDefault="00687AF8" w:rsidP="00687AF8">
      <w:pPr>
        <w:pStyle w:val="a6"/>
        <w:rPr>
          <w:rStyle w:val="blk1"/>
          <w:sz w:val="24"/>
          <w:szCs w:val="24"/>
        </w:rPr>
      </w:pPr>
      <w:r w:rsidRPr="00687AF8">
        <w:rPr>
          <w:sz w:val="24"/>
          <w:szCs w:val="24"/>
        </w:rPr>
        <w:t xml:space="preserve">В нарушение п. 2.10 </w:t>
      </w:r>
      <w:r w:rsidRPr="00687AF8">
        <w:rPr>
          <w:rStyle w:val="blk1"/>
          <w:sz w:val="24"/>
          <w:szCs w:val="24"/>
          <w:specVanish w:val="0"/>
        </w:rPr>
        <w:t>Методических указаний  в конце описи материально ответственное лицо не дало расписку, подтверждающую проверку комиссией имущества в его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Приказом № 10 от 28.10.2016г.   назначена рабочая инвентаризационная комиссия, в состав которой </w:t>
      </w:r>
      <w:proofErr w:type="gramStart"/>
      <w:r w:rsidRPr="00687AF8">
        <w:rPr>
          <w:sz w:val="24"/>
          <w:szCs w:val="24"/>
        </w:rPr>
        <w:t>назначены</w:t>
      </w:r>
      <w:proofErr w:type="gramEnd"/>
      <w:r w:rsidRPr="00687AF8">
        <w:rPr>
          <w:sz w:val="24"/>
          <w:szCs w:val="24"/>
        </w:rPr>
        <w:t xml:space="preserve">  библиотекарь </w:t>
      </w:r>
      <w:proofErr w:type="spellStart"/>
      <w:r w:rsidRPr="00687AF8">
        <w:rPr>
          <w:sz w:val="24"/>
          <w:szCs w:val="24"/>
        </w:rPr>
        <w:t>Еремкина</w:t>
      </w:r>
      <w:proofErr w:type="spellEnd"/>
      <w:r w:rsidRPr="00687AF8">
        <w:rPr>
          <w:sz w:val="24"/>
          <w:szCs w:val="24"/>
        </w:rPr>
        <w:t xml:space="preserve"> О.П. и методист </w:t>
      </w:r>
      <w:proofErr w:type="spellStart"/>
      <w:r w:rsidRPr="00687AF8">
        <w:rPr>
          <w:sz w:val="24"/>
          <w:szCs w:val="24"/>
        </w:rPr>
        <w:t>Ромашина</w:t>
      </w:r>
      <w:proofErr w:type="spellEnd"/>
      <w:r w:rsidRPr="00687AF8">
        <w:rPr>
          <w:sz w:val="24"/>
          <w:szCs w:val="24"/>
        </w:rPr>
        <w:t xml:space="preserve"> Л.П., являющиеся материально ответственными лицами. В Методических </w:t>
      </w:r>
      <w:hyperlink r:id="rId8" w:history="1">
        <w:r w:rsidRPr="00687AF8">
          <w:rPr>
            <w:sz w:val="24"/>
            <w:szCs w:val="24"/>
          </w:rPr>
          <w:t>указаниях</w:t>
        </w:r>
      </w:hyperlink>
      <w:r w:rsidRPr="00687AF8">
        <w:rPr>
          <w:sz w:val="24"/>
          <w:szCs w:val="24"/>
        </w:rPr>
        <w:t xml:space="preserve"> по инвентаризации не содержится прямого запрета на включение материально ответственных лиц в инвентаризационную комиссию, но, по нашему мнению, введение их в ее состав противоречит смыслу инвентаризации. Ведь материально ответственные лица выступают как проверяемые, а не как проверяющие. Более того, перед началом и завершением проведения инвентаризации материально ответственные лица дают расписки, подтверждающие, что: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>- к началу инвентаризации все расходные и приходные документы на имущество сданы в бухгалтерию или переданы комиссии, все ценности, поступившие на их ответственность, оприходованы, а выбывшие списаны в расход;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proofErr w:type="gramStart"/>
      <w:r w:rsidRPr="00687AF8">
        <w:rPr>
          <w:sz w:val="24"/>
          <w:szCs w:val="24"/>
        </w:rPr>
        <w:lastRenderedPageBreak/>
        <w:t>- проверка имущества проведена комиссией в их присутствии (в соответствии с пунктом 2.8.</w:t>
      </w:r>
      <w:proofErr w:type="gramEnd"/>
      <w:r w:rsidRPr="00687AF8">
        <w:rPr>
          <w:sz w:val="24"/>
          <w:szCs w:val="24"/>
        </w:rPr>
        <w:t xml:space="preserve"> </w:t>
      </w:r>
      <w:proofErr w:type="gramStart"/>
      <w:r w:rsidRPr="00687AF8">
        <w:rPr>
          <w:sz w:val="24"/>
          <w:szCs w:val="24"/>
        </w:rPr>
        <w:t xml:space="preserve">Методических указаний их присутствие при проверке фактического наличия имущества является обязательным) и каких-либо претензий к последней нет. </w:t>
      </w:r>
      <w:proofErr w:type="gramEnd"/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В нарушение </w:t>
      </w:r>
      <w:hyperlink r:id="rId9" w:history="1">
        <w:r w:rsidRPr="00687AF8">
          <w:rPr>
            <w:rStyle w:val="a7"/>
            <w:color w:val="auto"/>
            <w:sz w:val="24"/>
            <w:szCs w:val="24"/>
            <w:u w:val="none"/>
          </w:rPr>
          <w:t>пункта 3.6</w:t>
        </w:r>
      </w:hyperlink>
      <w:r w:rsidRPr="00687AF8">
        <w:rPr>
          <w:sz w:val="24"/>
          <w:szCs w:val="24"/>
        </w:rPr>
        <w:t xml:space="preserve"> Методических указаний по инвентаризации имущества и финансовых обязательств в ходе инвентаризации имущества и материальных ценностей   не формировались отдельные описи на основные средства, непригодные к эксплуатации и не подлежащие восстановлению. Вместе с тем, после проведения инвентаризации составлен акт № 3  от 29.11.2016г о списании объектов нефинансовых активов, в заключени</w:t>
      </w:r>
      <w:proofErr w:type="gramStart"/>
      <w:r w:rsidRPr="00687AF8">
        <w:rPr>
          <w:sz w:val="24"/>
          <w:szCs w:val="24"/>
        </w:rPr>
        <w:t>и</w:t>
      </w:r>
      <w:proofErr w:type="gramEnd"/>
      <w:r w:rsidRPr="00687AF8">
        <w:rPr>
          <w:sz w:val="24"/>
          <w:szCs w:val="24"/>
        </w:rPr>
        <w:t xml:space="preserve"> комиссии которого указывается причина списания: «спортивный инвентарь непригоден для дальнейшего использования, не подлежит ремонту и восстановлению».  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В нарушение требований п. 2.9 Методических указаний по инвентаризации на каждой странице описи не выведены итоги (числовые значения прописью, количество порядковых номеров и сумма материальных ценностей, общий итог в натуральных показателях). 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9. В нарушение  п. 24 Положение о системе </w:t>
      </w:r>
      <w:proofErr w:type="gramStart"/>
      <w:r w:rsidRPr="00687AF8">
        <w:rPr>
          <w:sz w:val="24"/>
          <w:szCs w:val="24"/>
        </w:rPr>
        <w:t>оплаты труда работников муниципальных учреждений культуры</w:t>
      </w:r>
      <w:proofErr w:type="gramEnd"/>
      <w:r w:rsidRPr="00687AF8">
        <w:rPr>
          <w:sz w:val="24"/>
          <w:szCs w:val="24"/>
        </w:rPr>
        <w:t xml:space="preserve"> </w:t>
      </w:r>
      <w:proofErr w:type="spellStart"/>
      <w:r w:rsidRPr="00687AF8">
        <w:rPr>
          <w:sz w:val="24"/>
          <w:szCs w:val="24"/>
        </w:rPr>
        <w:t>Корниловского</w:t>
      </w:r>
      <w:proofErr w:type="spellEnd"/>
      <w:r w:rsidRPr="00687AF8">
        <w:rPr>
          <w:sz w:val="24"/>
          <w:szCs w:val="24"/>
        </w:rPr>
        <w:t xml:space="preserve"> сельского поселения система показателей и условия премирования работников не разработаны и на проверку не представлены. 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>10. Комиссия по распределению стимулирующих выплат в учреждении не создана, протоколы на проверку не представлены. Конкретные размеры стимулирующих выплат и премий устанавливаются директором единолично.</w:t>
      </w:r>
    </w:p>
    <w:p w:rsidR="00687AF8" w:rsidRPr="00687AF8" w:rsidRDefault="00687AF8" w:rsidP="00687AF8">
      <w:pPr>
        <w:pStyle w:val="a6"/>
        <w:rPr>
          <w:kern w:val="2"/>
          <w:sz w:val="24"/>
          <w:szCs w:val="24"/>
        </w:rPr>
      </w:pPr>
      <w:r w:rsidRPr="00687AF8">
        <w:rPr>
          <w:sz w:val="24"/>
          <w:szCs w:val="24"/>
        </w:rPr>
        <w:t xml:space="preserve">11. </w:t>
      </w:r>
      <w:proofErr w:type="gramStart"/>
      <w:r w:rsidRPr="00687AF8">
        <w:rPr>
          <w:sz w:val="24"/>
          <w:szCs w:val="24"/>
        </w:rPr>
        <w:t>Представленные на проверку карточки-справки (ф. 0504417) для регистрации сведений о зарплате работников за 2016 год заполнены с нарушениями требований приказа № 173н: не все карточки  содержат отметки о квалификации, категории, сведения об образовании, стаже работы, не во всех указана дата и номер приказа о приеме на работу, не заполнены графы «Сведения об использовании отпусков», «Виды и суммы постоянных начислений заработной платы</w:t>
      </w:r>
      <w:proofErr w:type="gramEnd"/>
      <w:r w:rsidRPr="00687AF8">
        <w:rPr>
          <w:sz w:val="24"/>
          <w:szCs w:val="24"/>
        </w:rPr>
        <w:t>, надбавок, доплат».</w:t>
      </w:r>
    </w:p>
    <w:p w:rsidR="00687AF8" w:rsidRPr="00687AF8" w:rsidRDefault="00687AF8" w:rsidP="00687AF8">
      <w:pPr>
        <w:pStyle w:val="a6"/>
        <w:rPr>
          <w:rFonts w:eastAsiaTheme="minorHAnsi"/>
          <w:sz w:val="24"/>
          <w:szCs w:val="24"/>
          <w:lang w:eastAsia="en-US"/>
        </w:rPr>
      </w:pPr>
      <w:r w:rsidRPr="00687AF8">
        <w:rPr>
          <w:sz w:val="24"/>
          <w:szCs w:val="24"/>
        </w:rPr>
        <w:t xml:space="preserve">12. </w:t>
      </w:r>
      <w:r w:rsidRPr="00687AF8">
        <w:rPr>
          <w:rFonts w:eastAsiaTheme="minorHAnsi"/>
          <w:sz w:val="24"/>
          <w:szCs w:val="24"/>
          <w:lang w:eastAsia="en-US"/>
        </w:rPr>
        <w:t xml:space="preserve">В нарушение утвержденного порядка распоряжения Администрации </w:t>
      </w:r>
      <w:proofErr w:type="spellStart"/>
      <w:r w:rsidRPr="00687AF8">
        <w:rPr>
          <w:rFonts w:eastAsiaTheme="minorHAnsi"/>
          <w:sz w:val="24"/>
          <w:szCs w:val="24"/>
          <w:lang w:eastAsia="en-US"/>
        </w:rPr>
        <w:t>Корниловского</w:t>
      </w:r>
      <w:proofErr w:type="spellEnd"/>
      <w:r w:rsidRPr="00687AF8">
        <w:rPr>
          <w:rFonts w:eastAsiaTheme="minorHAnsi"/>
          <w:sz w:val="24"/>
          <w:szCs w:val="24"/>
          <w:lang w:eastAsia="en-US"/>
        </w:rPr>
        <w:t xml:space="preserve"> поселения о премировании руководителя издаются не на основании заключения комиссии, а на основании представлений, подписанных  директором МАУК «Клуб с. </w:t>
      </w:r>
      <w:proofErr w:type="spellStart"/>
      <w:r w:rsidRPr="00687AF8">
        <w:rPr>
          <w:rFonts w:eastAsiaTheme="minorHAnsi"/>
          <w:sz w:val="24"/>
          <w:szCs w:val="24"/>
          <w:lang w:eastAsia="en-US"/>
        </w:rPr>
        <w:t>Корнилово</w:t>
      </w:r>
      <w:proofErr w:type="spellEnd"/>
      <w:r w:rsidRPr="00687AF8">
        <w:rPr>
          <w:rFonts w:eastAsiaTheme="minorHAnsi"/>
          <w:sz w:val="24"/>
          <w:szCs w:val="24"/>
          <w:lang w:eastAsia="en-US"/>
        </w:rPr>
        <w:t xml:space="preserve">». Показатели, содержащиеся в представлениях, являются в основном, должностными обязанностями руководителя учреждения и не являются критериями оценки эффективности его деятельности, утвержденными постановлением Администрации </w:t>
      </w:r>
      <w:proofErr w:type="spellStart"/>
      <w:r w:rsidRPr="00687AF8">
        <w:rPr>
          <w:rFonts w:eastAsiaTheme="minorHAnsi"/>
          <w:sz w:val="24"/>
          <w:szCs w:val="24"/>
          <w:lang w:eastAsia="en-US"/>
        </w:rPr>
        <w:t>Корниловского</w:t>
      </w:r>
      <w:proofErr w:type="spellEnd"/>
      <w:r w:rsidRPr="00687AF8">
        <w:rPr>
          <w:rFonts w:eastAsiaTheme="minorHAnsi"/>
          <w:sz w:val="24"/>
          <w:szCs w:val="24"/>
          <w:lang w:eastAsia="en-US"/>
        </w:rPr>
        <w:t xml:space="preserve"> сельского поселения № 106 от 13.04.2011г.</w:t>
      </w:r>
    </w:p>
    <w:p w:rsidR="00687AF8" w:rsidRPr="00687AF8" w:rsidRDefault="00687AF8" w:rsidP="00687AF8">
      <w:pPr>
        <w:pStyle w:val="a6"/>
        <w:rPr>
          <w:rFonts w:eastAsiaTheme="minorHAnsi"/>
          <w:sz w:val="24"/>
          <w:szCs w:val="24"/>
          <w:lang w:eastAsia="en-US"/>
        </w:rPr>
      </w:pPr>
      <w:r w:rsidRPr="00687AF8">
        <w:rPr>
          <w:rFonts w:eastAsiaTheme="minorHAnsi"/>
          <w:sz w:val="24"/>
          <w:szCs w:val="24"/>
          <w:lang w:eastAsia="en-US"/>
        </w:rPr>
        <w:t xml:space="preserve">Объем годового премиального фонда руководителя муниципального автономного учреждения «Клуб с. </w:t>
      </w:r>
      <w:proofErr w:type="spellStart"/>
      <w:r w:rsidRPr="00687AF8">
        <w:rPr>
          <w:rFonts w:eastAsiaTheme="minorHAnsi"/>
          <w:sz w:val="24"/>
          <w:szCs w:val="24"/>
          <w:lang w:eastAsia="en-US"/>
        </w:rPr>
        <w:t>Корнилово</w:t>
      </w:r>
      <w:proofErr w:type="spellEnd"/>
      <w:r w:rsidRPr="00687AF8">
        <w:rPr>
          <w:rFonts w:eastAsiaTheme="minorHAnsi"/>
          <w:sz w:val="24"/>
          <w:szCs w:val="24"/>
          <w:lang w:eastAsia="en-US"/>
        </w:rPr>
        <w:t xml:space="preserve">» утвержден постановлением Администрации </w:t>
      </w:r>
      <w:proofErr w:type="spellStart"/>
      <w:r w:rsidRPr="00687AF8">
        <w:rPr>
          <w:rFonts w:eastAsiaTheme="minorHAnsi"/>
          <w:sz w:val="24"/>
          <w:szCs w:val="24"/>
          <w:lang w:eastAsia="en-US"/>
        </w:rPr>
        <w:t>Корниловского</w:t>
      </w:r>
      <w:proofErr w:type="spellEnd"/>
      <w:r w:rsidRPr="00687AF8">
        <w:rPr>
          <w:rFonts w:eastAsiaTheme="minorHAnsi"/>
          <w:sz w:val="24"/>
          <w:szCs w:val="24"/>
          <w:lang w:eastAsia="en-US"/>
        </w:rPr>
        <w:t xml:space="preserve"> сельского поселения № 32 от 21.01.2016г в сумме 109200,0 тыс. рублей. Фактически в 2016 году руководителю произведена выплата премии в сумме 112927,28 рублей. Превышение над утвержденным значением 3727,28 рублей. </w:t>
      </w:r>
    </w:p>
    <w:p w:rsidR="00687AF8" w:rsidRPr="00687AF8" w:rsidRDefault="00687AF8" w:rsidP="00687AF8">
      <w:pPr>
        <w:pStyle w:val="a6"/>
        <w:rPr>
          <w:rFonts w:eastAsiaTheme="minorHAnsi"/>
          <w:sz w:val="24"/>
          <w:szCs w:val="24"/>
          <w:lang w:eastAsia="en-US"/>
        </w:rPr>
      </w:pPr>
      <w:r w:rsidRPr="00687AF8">
        <w:rPr>
          <w:rFonts w:eastAsiaTheme="minorHAnsi"/>
          <w:sz w:val="24"/>
          <w:szCs w:val="24"/>
          <w:lang w:eastAsia="en-US"/>
        </w:rPr>
        <w:t>Выплату руководителю учреждения премии по итогам работы в нарушение установленного порядка Счетная палата считает неправомерным расходованием бюджетных сре</w:t>
      </w:r>
      <w:proofErr w:type="gramStart"/>
      <w:r w:rsidRPr="00687AF8">
        <w:rPr>
          <w:rFonts w:eastAsiaTheme="minorHAnsi"/>
          <w:sz w:val="24"/>
          <w:szCs w:val="24"/>
          <w:lang w:eastAsia="en-US"/>
        </w:rPr>
        <w:t>дств в с</w:t>
      </w:r>
      <w:proofErr w:type="gramEnd"/>
      <w:r w:rsidRPr="00687AF8">
        <w:rPr>
          <w:rFonts w:eastAsiaTheme="minorHAnsi"/>
          <w:sz w:val="24"/>
          <w:szCs w:val="24"/>
          <w:lang w:eastAsia="en-US"/>
        </w:rPr>
        <w:t>умме 112927,28 рублей.</w:t>
      </w:r>
    </w:p>
    <w:p w:rsidR="00687AF8" w:rsidRPr="00687AF8" w:rsidRDefault="00687AF8" w:rsidP="00687AF8">
      <w:pPr>
        <w:pStyle w:val="a6"/>
        <w:rPr>
          <w:sz w:val="24"/>
          <w:szCs w:val="24"/>
        </w:rPr>
      </w:pPr>
      <w:r w:rsidRPr="00687AF8">
        <w:rPr>
          <w:sz w:val="24"/>
          <w:szCs w:val="24"/>
        </w:rPr>
        <w:t xml:space="preserve">13. В нарушение требований пункта 1 статьи 12 Закона № 174-ФЗ, в котором определено, что заседания наблюдательного совета должны проводиться не реже одного раза в квартал, заседания наблюдательного совета во втором и третьем квартале 2016 года не проводились.  </w:t>
      </w:r>
    </w:p>
    <w:p w:rsidR="00687AF8" w:rsidRPr="00687AF8" w:rsidRDefault="00687AF8" w:rsidP="00687AF8">
      <w:pPr>
        <w:pStyle w:val="a6"/>
        <w:rPr>
          <w:b/>
          <w:sz w:val="24"/>
          <w:szCs w:val="24"/>
        </w:rPr>
      </w:pPr>
    </w:p>
    <w:p w:rsidR="004D7E4B" w:rsidRDefault="004D7E4B" w:rsidP="004D7E4B">
      <w:pPr>
        <w:pStyle w:val="a6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2A3439" w:rsidRDefault="002A3439" w:rsidP="004D7E4B">
      <w:pPr>
        <w:pStyle w:val="a6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  Не допускать </w:t>
      </w:r>
      <w:r>
        <w:rPr>
          <w:rFonts w:eastAsiaTheme="minorHAnsi"/>
          <w:bCs/>
          <w:sz w:val="24"/>
          <w:szCs w:val="24"/>
          <w:lang w:eastAsia="en-US"/>
        </w:rPr>
        <w:t>нарушений</w:t>
      </w:r>
      <w:r w:rsidRPr="00687AF8">
        <w:rPr>
          <w:rFonts w:eastAsiaTheme="minorHAnsi"/>
          <w:bCs/>
          <w:sz w:val="24"/>
          <w:szCs w:val="24"/>
          <w:lang w:eastAsia="en-US"/>
        </w:rPr>
        <w:t xml:space="preserve"> </w:t>
      </w:r>
      <w:hyperlink r:id="rId10" w:history="1">
        <w:r w:rsidRPr="00687AF8">
          <w:rPr>
            <w:rFonts w:eastAsiaTheme="minorHAnsi"/>
            <w:bCs/>
            <w:sz w:val="24"/>
            <w:szCs w:val="24"/>
            <w:lang w:eastAsia="en-US"/>
          </w:rPr>
          <w:t>порядка</w:t>
        </w:r>
      </w:hyperlink>
      <w:r w:rsidRPr="00687AF8">
        <w:rPr>
          <w:rFonts w:eastAsiaTheme="minorHAnsi"/>
          <w:bCs/>
          <w:sz w:val="24"/>
          <w:szCs w:val="24"/>
          <w:lang w:eastAsia="en-US"/>
        </w:rPr>
        <w:t xml:space="preserve"> формирован</w:t>
      </w:r>
      <w:r>
        <w:rPr>
          <w:rFonts w:eastAsiaTheme="minorHAnsi"/>
          <w:bCs/>
          <w:sz w:val="24"/>
          <w:szCs w:val="24"/>
          <w:lang w:eastAsia="en-US"/>
        </w:rPr>
        <w:t>ия</w:t>
      </w:r>
      <w:r w:rsidRPr="00687AF8">
        <w:rPr>
          <w:rFonts w:eastAsiaTheme="minorHAnsi"/>
          <w:bCs/>
          <w:sz w:val="24"/>
          <w:szCs w:val="24"/>
          <w:lang w:eastAsia="en-US"/>
        </w:rPr>
        <w:t xml:space="preserve"> муниципального задания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:rsidR="002A3439" w:rsidRDefault="002A3439" w:rsidP="004D7E4B">
      <w:pPr>
        <w:pStyle w:val="a6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2. Не допускать </w:t>
      </w:r>
      <w:r>
        <w:rPr>
          <w:sz w:val="24"/>
          <w:szCs w:val="24"/>
        </w:rPr>
        <w:t>нарушений</w:t>
      </w:r>
      <w:r w:rsidRPr="00687AF8">
        <w:rPr>
          <w:sz w:val="24"/>
          <w:szCs w:val="24"/>
        </w:rPr>
        <w:t xml:space="preserve"> 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</w:t>
      </w:r>
      <w:r>
        <w:rPr>
          <w:sz w:val="24"/>
          <w:szCs w:val="24"/>
        </w:rPr>
        <w:t>.</w:t>
      </w:r>
    </w:p>
    <w:p w:rsidR="004D7E4B" w:rsidRDefault="002A3439" w:rsidP="002A3439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3. </w:t>
      </w:r>
      <w:r>
        <w:rPr>
          <w:rFonts w:eastAsiaTheme="minorHAnsi"/>
          <w:sz w:val="24"/>
          <w:szCs w:val="24"/>
          <w:lang w:eastAsia="en-US"/>
        </w:rPr>
        <w:t>Привести в актуальное состояние  учетную политику учреждения</w:t>
      </w:r>
      <w:r w:rsidR="004D7E4B">
        <w:rPr>
          <w:rFonts w:eastAsiaTheme="minorHAnsi"/>
          <w:sz w:val="24"/>
          <w:szCs w:val="24"/>
          <w:lang w:eastAsia="en-US"/>
        </w:rPr>
        <w:t>.</w:t>
      </w:r>
    </w:p>
    <w:p w:rsidR="004D7E4B" w:rsidRDefault="002A3439" w:rsidP="004D7E4B">
      <w:pPr>
        <w:pStyle w:val="a6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4D7E4B">
        <w:rPr>
          <w:rFonts w:eastAsiaTheme="minorHAnsi"/>
          <w:sz w:val="24"/>
          <w:szCs w:val="24"/>
          <w:lang w:eastAsia="en-US"/>
        </w:rPr>
        <w:t xml:space="preserve">. Своевременно размещать </w:t>
      </w:r>
      <w:r>
        <w:rPr>
          <w:rFonts w:eastAsiaTheme="minorHAnsi"/>
          <w:sz w:val="24"/>
          <w:szCs w:val="24"/>
          <w:lang w:eastAsia="en-US"/>
        </w:rPr>
        <w:t xml:space="preserve">информацию на официальном сайте </w:t>
      </w:r>
      <w:proofErr w:type="spellStart"/>
      <w:r w:rsidRPr="00687AF8">
        <w:rPr>
          <w:sz w:val="24"/>
          <w:szCs w:val="24"/>
        </w:rPr>
        <w:t>bus</w:t>
      </w:r>
      <w:proofErr w:type="spellEnd"/>
      <w:r w:rsidRPr="00687AF8">
        <w:rPr>
          <w:sz w:val="24"/>
          <w:szCs w:val="24"/>
        </w:rPr>
        <w:t>.</w:t>
      </w:r>
      <w:proofErr w:type="spellStart"/>
      <w:r w:rsidRPr="00687AF8">
        <w:rPr>
          <w:sz w:val="24"/>
          <w:szCs w:val="24"/>
          <w:lang w:val="en-US"/>
        </w:rPr>
        <w:t>gov</w:t>
      </w:r>
      <w:proofErr w:type="spellEnd"/>
      <w:r w:rsidRPr="00687AF8">
        <w:rPr>
          <w:sz w:val="24"/>
          <w:szCs w:val="24"/>
        </w:rPr>
        <w:t>.</w:t>
      </w:r>
      <w:proofErr w:type="spellStart"/>
      <w:r w:rsidRPr="00687AF8"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r w:rsidR="004D7E4B">
        <w:rPr>
          <w:sz w:val="24"/>
          <w:szCs w:val="24"/>
        </w:rPr>
        <w:t>в информационно-телеко</w:t>
      </w:r>
      <w:r w:rsidR="005C7356">
        <w:rPr>
          <w:sz w:val="24"/>
          <w:szCs w:val="24"/>
        </w:rPr>
        <w:t>ммуникационной сети "Интернет»</w:t>
      </w:r>
      <w:r w:rsidR="004D7E4B">
        <w:rPr>
          <w:sz w:val="24"/>
          <w:szCs w:val="24"/>
        </w:rPr>
        <w:t>.</w:t>
      </w:r>
    </w:p>
    <w:p w:rsidR="002A3439" w:rsidRDefault="002A3439" w:rsidP="004D7E4B">
      <w:pPr>
        <w:pStyle w:val="a6"/>
        <w:rPr>
          <w:sz w:val="24"/>
          <w:szCs w:val="24"/>
        </w:rPr>
      </w:pPr>
      <w:r>
        <w:rPr>
          <w:sz w:val="24"/>
          <w:szCs w:val="24"/>
        </w:rPr>
        <w:t>5. Проведение инвентаризации проводить в строгом соответствии с п</w:t>
      </w:r>
      <w:r w:rsidRPr="00E26C83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Pr="00E26C83">
        <w:rPr>
          <w:sz w:val="24"/>
          <w:szCs w:val="24"/>
        </w:rPr>
        <w:t xml:space="preserve">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</w:t>
      </w:r>
      <w:r>
        <w:rPr>
          <w:sz w:val="24"/>
          <w:szCs w:val="24"/>
        </w:rPr>
        <w:t>.</w:t>
      </w:r>
    </w:p>
    <w:p w:rsidR="00DC5E98" w:rsidRDefault="00DC5E98" w:rsidP="00DC5E9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6. Привести в актуальное состояние </w:t>
      </w:r>
      <w:r w:rsidRPr="00687AF8">
        <w:rPr>
          <w:sz w:val="24"/>
          <w:szCs w:val="24"/>
        </w:rPr>
        <w:t>Положение о сис</w:t>
      </w:r>
      <w:r>
        <w:rPr>
          <w:sz w:val="24"/>
          <w:szCs w:val="24"/>
        </w:rPr>
        <w:t>теме оплаты труда работников,</w:t>
      </w:r>
      <w:r w:rsidRPr="00687AF8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разработать систему</w:t>
      </w:r>
      <w:r w:rsidRPr="00687AF8">
        <w:rPr>
          <w:sz w:val="24"/>
          <w:szCs w:val="24"/>
        </w:rPr>
        <w:t xml:space="preserve"> показателей и условия прем</w:t>
      </w:r>
      <w:r>
        <w:rPr>
          <w:sz w:val="24"/>
          <w:szCs w:val="24"/>
        </w:rPr>
        <w:t>ирования работников</w:t>
      </w:r>
      <w:r w:rsidRPr="00687AF8">
        <w:rPr>
          <w:sz w:val="24"/>
          <w:szCs w:val="24"/>
        </w:rPr>
        <w:t xml:space="preserve">. </w:t>
      </w:r>
    </w:p>
    <w:p w:rsidR="00DC5E98" w:rsidRDefault="00DC5E98" w:rsidP="00DC5E98">
      <w:pPr>
        <w:pStyle w:val="a6"/>
        <w:rPr>
          <w:sz w:val="24"/>
          <w:szCs w:val="24"/>
        </w:rPr>
      </w:pPr>
      <w:r>
        <w:rPr>
          <w:sz w:val="24"/>
          <w:szCs w:val="24"/>
        </w:rPr>
        <w:t>7.  Создать комиссию</w:t>
      </w:r>
      <w:r w:rsidRPr="00687AF8">
        <w:rPr>
          <w:sz w:val="24"/>
          <w:szCs w:val="24"/>
        </w:rPr>
        <w:t xml:space="preserve"> по распределению стимулирующих</w:t>
      </w:r>
      <w:r>
        <w:rPr>
          <w:sz w:val="24"/>
          <w:szCs w:val="24"/>
        </w:rPr>
        <w:t xml:space="preserve"> выплат.</w:t>
      </w:r>
    </w:p>
    <w:p w:rsidR="00DC5E98" w:rsidRDefault="00DC5E98" w:rsidP="00DC5E98">
      <w:pPr>
        <w:pStyle w:val="a6"/>
        <w:rPr>
          <w:sz w:val="24"/>
          <w:szCs w:val="24"/>
        </w:rPr>
      </w:pPr>
      <w:r>
        <w:rPr>
          <w:sz w:val="24"/>
          <w:szCs w:val="24"/>
        </w:rPr>
        <w:t>8.  К</w:t>
      </w:r>
      <w:r w:rsidRPr="00687AF8">
        <w:rPr>
          <w:sz w:val="24"/>
          <w:szCs w:val="24"/>
        </w:rPr>
        <w:t>арточки-справки (ф. 0504417) для регистрации сведений о зарплате</w:t>
      </w:r>
      <w:r>
        <w:rPr>
          <w:sz w:val="24"/>
          <w:szCs w:val="24"/>
        </w:rPr>
        <w:t xml:space="preserve"> работников заполнять в соответствии с требованиями приказа № 173н.</w:t>
      </w:r>
    </w:p>
    <w:p w:rsidR="00DC5E98" w:rsidRDefault="00DC5E98" w:rsidP="00C411C6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9.  Не допускать превышения  утвержденного для руководителя учреждения </w:t>
      </w:r>
      <w:r>
        <w:rPr>
          <w:rFonts w:eastAsiaTheme="minorHAnsi"/>
          <w:sz w:val="24"/>
          <w:szCs w:val="24"/>
          <w:lang w:eastAsia="en-US"/>
        </w:rPr>
        <w:t>о</w:t>
      </w:r>
      <w:r w:rsidRPr="00687AF8">
        <w:rPr>
          <w:rFonts w:eastAsiaTheme="minorHAnsi"/>
          <w:sz w:val="24"/>
          <w:szCs w:val="24"/>
          <w:lang w:eastAsia="en-US"/>
        </w:rPr>
        <w:t>бъем</w:t>
      </w:r>
      <w:r>
        <w:rPr>
          <w:rFonts w:eastAsiaTheme="minorHAnsi"/>
          <w:sz w:val="24"/>
          <w:szCs w:val="24"/>
          <w:lang w:eastAsia="en-US"/>
        </w:rPr>
        <w:t xml:space="preserve">а </w:t>
      </w:r>
      <w:r w:rsidRPr="00687AF8">
        <w:rPr>
          <w:rFonts w:eastAsiaTheme="minorHAnsi"/>
          <w:sz w:val="24"/>
          <w:szCs w:val="24"/>
          <w:lang w:eastAsia="en-US"/>
        </w:rPr>
        <w:t>годового премиального фонда</w:t>
      </w:r>
      <w:r>
        <w:rPr>
          <w:rFonts w:eastAsiaTheme="minorHAnsi"/>
          <w:sz w:val="24"/>
          <w:szCs w:val="24"/>
          <w:lang w:eastAsia="en-US"/>
        </w:rPr>
        <w:t xml:space="preserve">. Премирование руководителя производить в соответствии с утвержденным порядком на основании </w:t>
      </w:r>
      <w:r w:rsidR="00C411C6">
        <w:rPr>
          <w:rFonts w:eastAsiaTheme="minorHAnsi"/>
          <w:sz w:val="24"/>
          <w:szCs w:val="24"/>
          <w:lang w:eastAsia="en-US"/>
        </w:rPr>
        <w:t>утвержденных критериев</w:t>
      </w:r>
      <w:r w:rsidR="00C411C6" w:rsidRPr="00687AF8">
        <w:rPr>
          <w:rFonts w:eastAsiaTheme="minorHAnsi"/>
          <w:sz w:val="24"/>
          <w:szCs w:val="24"/>
          <w:lang w:eastAsia="en-US"/>
        </w:rPr>
        <w:t xml:space="preserve"> оценки эффективности его деятельности</w:t>
      </w:r>
      <w:r w:rsidR="00C411C6">
        <w:rPr>
          <w:rFonts w:eastAsiaTheme="minorHAnsi"/>
          <w:sz w:val="24"/>
          <w:szCs w:val="24"/>
          <w:lang w:eastAsia="en-US"/>
        </w:rPr>
        <w:t>.</w:t>
      </w:r>
    </w:p>
    <w:p w:rsidR="00C411C6" w:rsidRDefault="00C411C6" w:rsidP="00C411C6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 Перевести работников на эффективный контракт и заключить с ними дополнительные соглашения к трудовым договорам. </w:t>
      </w:r>
    </w:p>
    <w:p w:rsidR="004D7E4B" w:rsidRDefault="00C411C6" w:rsidP="004D7E4B">
      <w:pPr>
        <w:pStyle w:val="a6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11</w:t>
      </w:r>
      <w:r w:rsidR="004D7E4B">
        <w:rPr>
          <w:rFonts w:eastAsiaTheme="minorHAnsi"/>
          <w:bCs/>
          <w:sz w:val="24"/>
          <w:szCs w:val="24"/>
          <w:lang w:eastAsia="en-US"/>
        </w:rPr>
        <w:t xml:space="preserve">.  </w:t>
      </w:r>
      <w:r w:rsidR="004D7E4B">
        <w:rPr>
          <w:sz w:val="24"/>
          <w:szCs w:val="24"/>
        </w:rPr>
        <w:t>Учесть все замечания, указанные в акте проверки.</w:t>
      </w:r>
    </w:p>
    <w:p w:rsidR="004D7E4B" w:rsidRDefault="004D7E4B" w:rsidP="004D7E4B">
      <w:pPr>
        <w:pStyle w:val="a6"/>
        <w:rPr>
          <w:rFonts w:eastAsiaTheme="minorHAnsi"/>
          <w:bCs/>
          <w:sz w:val="24"/>
          <w:szCs w:val="24"/>
          <w:lang w:eastAsia="en-US"/>
        </w:rPr>
      </w:pPr>
    </w:p>
    <w:p w:rsidR="004D7E4B" w:rsidRDefault="004D7E4B" w:rsidP="004D7E4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4D7E4B" w:rsidRDefault="004D7E4B" w:rsidP="004D7E4B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результатам контроль</w:t>
      </w:r>
      <w:r w:rsidR="00687AF8">
        <w:rPr>
          <w:sz w:val="24"/>
          <w:szCs w:val="24"/>
        </w:rPr>
        <w:t xml:space="preserve">ного мероприятия директору МАУК «Клуб с. </w:t>
      </w:r>
      <w:proofErr w:type="spellStart"/>
      <w:r w:rsidR="00687AF8">
        <w:rPr>
          <w:sz w:val="24"/>
          <w:szCs w:val="24"/>
        </w:rPr>
        <w:t>Корнилово</w:t>
      </w:r>
      <w:proofErr w:type="spellEnd"/>
      <w:r w:rsidR="00687AF8">
        <w:rPr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>вынесено представление об устранении допущенных нарушений и испра</w:t>
      </w:r>
      <w:r w:rsidR="00687AF8">
        <w:rPr>
          <w:sz w:val="24"/>
          <w:szCs w:val="24"/>
        </w:rPr>
        <w:t>влению недостатков от 26.01.2018</w:t>
      </w:r>
      <w:r w:rsidR="00A11FD3">
        <w:rPr>
          <w:sz w:val="24"/>
          <w:szCs w:val="24"/>
        </w:rPr>
        <w:t>г. № 9</w:t>
      </w:r>
      <w:r>
        <w:rPr>
          <w:sz w:val="24"/>
          <w:szCs w:val="24"/>
        </w:rPr>
        <w:t>. Акт проверки для информации направлен Председателю Думы Томско</w:t>
      </w:r>
      <w:r w:rsidR="00A11FD3">
        <w:rPr>
          <w:sz w:val="24"/>
          <w:szCs w:val="24"/>
        </w:rPr>
        <w:t xml:space="preserve">го района, Главе </w:t>
      </w:r>
      <w:proofErr w:type="spellStart"/>
      <w:r w:rsidR="00A11FD3">
        <w:rPr>
          <w:sz w:val="24"/>
          <w:szCs w:val="24"/>
        </w:rPr>
        <w:t>Корниловского</w:t>
      </w:r>
      <w:proofErr w:type="spellEnd"/>
      <w:r w:rsidR="00A11FD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4D7E4B" w:rsidRDefault="004D7E4B" w:rsidP="004D7E4B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представление получен ответ об исправлении недостатков и устранению нарушений.</w:t>
      </w:r>
    </w:p>
    <w:p w:rsidR="004D7E4B" w:rsidRDefault="004D7E4B" w:rsidP="004D7E4B">
      <w:pPr>
        <w:shd w:val="clear" w:color="auto" w:fill="FFFFFF"/>
        <w:spacing w:line="240" w:lineRule="auto"/>
        <w:rPr>
          <w:sz w:val="24"/>
          <w:szCs w:val="24"/>
        </w:rPr>
      </w:pPr>
    </w:p>
    <w:p w:rsidR="004D7E4B" w:rsidRDefault="004D7E4B" w:rsidP="004D7E4B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4D7E4B" w:rsidRDefault="004D7E4B" w:rsidP="004D7E4B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4D7E4B" w:rsidRDefault="004D7E4B" w:rsidP="004D7E4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4D7E4B" w:rsidRDefault="004D7E4B" w:rsidP="004D7E4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4D7E4B" w:rsidRDefault="004D7E4B" w:rsidP="004D7E4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4D7E4B" w:rsidRDefault="004D7E4B" w:rsidP="004D7E4B"/>
    <w:p w:rsidR="004D7E4B" w:rsidRDefault="004D7E4B" w:rsidP="004D7E4B"/>
    <w:p w:rsidR="00820D30" w:rsidRDefault="00820D30"/>
    <w:sectPr w:rsidR="00820D3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16" w:rsidRDefault="004F0816" w:rsidP="00C411C6">
      <w:pPr>
        <w:spacing w:line="240" w:lineRule="auto"/>
      </w:pPr>
      <w:r>
        <w:separator/>
      </w:r>
    </w:p>
  </w:endnote>
  <w:endnote w:type="continuationSeparator" w:id="0">
    <w:p w:rsidR="004F0816" w:rsidRDefault="004F0816" w:rsidP="00C41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78286"/>
      <w:docPartObj>
        <w:docPartGallery w:val="Page Numbers (Bottom of Page)"/>
        <w:docPartUnique/>
      </w:docPartObj>
    </w:sdtPr>
    <w:sdtEndPr/>
    <w:sdtContent>
      <w:p w:rsidR="00C411C6" w:rsidRDefault="00C411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E3">
          <w:rPr>
            <w:noProof/>
          </w:rPr>
          <w:t>1</w:t>
        </w:r>
        <w:r>
          <w:fldChar w:fldCharType="end"/>
        </w:r>
      </w:p>
    </w:sdtContent>
  </w:sdt>
  <w:p w:rsidR="00C411C6" w:rsidRDefault="00C411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16" w:rsidRDefault="004F0816" w:rsidP="00C411C6">
      <w:pPr>
        <w:spacing w:line="240" w:lineRule="auto"/>
      </w:pPr>
      <w:r>
        <w:separator/>
      </w:r>
    </w:p>
  </w:footnote>
  <w:footnote w:type="continuationSeparator" w:id="0">
    <w:p w:rsidR="004F0816" w:rsidRDefault="004F0816" w:rsidP="00C411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4B"/>
    <w:rsid w:val="000A2008"/>
    <w:rsid w:val="002A3439"/>
    <w:rsid w:val="003C722D"/>
    <w:rsid w:val="004D7E4B"/>
    <w:rsid w:val="004F0816"/>
    <w:rsid w:val="005C7356"/>
    <w:rsid w:val="00687AF8"/>
    <w:rsid w:val="007D4EE3"/>
    <w:rsid w:val="00820D30"/>
    <w:rsid w:val="00A11FD3"/>
    <w:rsid w:val="00C411C6"/>
    <w:rsid w:val="00DC5E98"/>
    <w:rsid w:val="00E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E4B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4D7E4B"/>
    <w:rPr>
      <w:sz w:val="28"/>
    </w:rPr>
  </w:style>
  <w:style w:type="character" w:customStyle="1" w:styleId="a5">
    <w:name w:val="Без интервала Знак"/>
    <w:basedOn w:val="a0"/>
    <w:link w:val="a6"/>
    <w:uiPriority w:val="1"/>
    <w:locked/>
    <w:rsid w:val="004D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4D7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D7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7E4B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E26C83"/>
    <w:pPr>
      <w:spacing w:line="240" w:lineRule="auto"/>
      <w:ind w:firstLine="0"/>
      <w:jc w:val="center"/>
    </w:pPr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E26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E26C83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character" w:customStyle="1" w:styleId="aa">
    <w:name w:val="Основной текст_"/>
    <w:basedOn w:val="a0"/>
    <w:link w:val="2"/>
    <w:rsid w:val="00E26C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okAntiqua95pt">
    <w:name w:val="Основной текст + Book Antiqua;9;5 pt;Курсив"/>
    <w:basedOn w:val="aa"/>
    <w:rsid w:val="00E26C83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a"/>
    <w:rsid w:val="00E26C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E26C83"/>
    <w:pPr>
      <w:shd w:val="clear" w:color="auto" w:fill="FFFFFF"/>
      <w:spacing w:line="269" w:lineRule="exac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blk1">
    <w:name w:val="blk1"/>
    <w:basedOn w:val="a0"/>
    <w:rsid w:val="00687AF8"/>
    <w:rPr>
      <w:vanish w:val="0"/>
      <w:webHidden w:val="0"/>
      <w:specVanish w:val="0"/>
    </w:rPr>
  </w:style>
  <w:style w:type="paragraph" w:styleId="ab">
    <w:name w:val="header"/>
    <w:basedOn w:val="a"/>
    <w:link w:val="ac"/>
    <w:uiPriority w:val="99"/>
    <w:unhideWhenUsed/>
    <w:rsid w:val="00C411C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1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11C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11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E4B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4D7E4B"/>
    <w:rPr>
      <w:sz w:val="28"/>
    </w:rPr>
  </w:style>
  <w:style w:type="character" w:customStyle="1" w:styleId="a5">
    <w:name w:val="Без интервала Знак"/>
    <w:basedOn w:val="a0"/>
    <w:link w:val="a6"/>
    <w:uiPriority w:val="1"/>
    <w:locked/>
    <w:rsid w:val="004D7E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4D7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D7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7E4B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E26C83"/>
    <w:pPr>
      <w:spacing w:line="240" w:lineRule="auto"/>
      <w:ind w:firstLine="0"/>
      <w:jc w:val="center"/>
    </w:pPr>
    <w:rPr>
      <w:sz w:val="24"/>
    </w:rPr>
  </w:style>
  <w:style w:type="character" w:customStyle="1" w:styleId="a9">
    <w:name w:val="Основной текст Знак"/>
    <w:basedOn w:val="a0"/>
    <w:link w:val="a8"/>
    <w:semiHidden/>
    <w:rsid w:val="00E26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E26C83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character" w:customStyle="1" w:styleId="aa">
    <w:name w:val="Основной текст_"/>
    <w:basedOn w:val="a0"/>
    <w:link w:val="2"/>
    <w:rsid w:val="00E26C8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okAntiqua95pt">
    <w:name w:val="Основной текст + Book Antiqua;9;5 pt;Курсив"/>
    <w:basedOn w:val="aa"/>
    <w:rsid w:val="00E26C83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a"/>
    <w:rsid w:val="00E26C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E26C83"/>
    <w:pPr>
      <w:shd w:val="clear" w:color="auto" w:fill="FFFFFF"/>
      <w:spacing w:line="269" w:lineRule="exac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blk1">
    <w:name w:val="blk1"/>
    <w:basedOn w:val="a0"/>
    <w:rsid w:val="00687AF8"/>
    <w:rPr>
      <w:vanish w:val="0"/>
      <w:webHidden w:val="0"/>
      <w:specVanish w:val="0"/>
    </w:rPr>
  </w:style>
  <w:style w:type="paragraph" w:styleId="ab">
    <w:name w:val="header"/>
    <w:basedOn w:val="a"/>
    <w:link w:val="ac"/>
    <w:uiPriority w:val="99"/>
    <w:unhideWhenUsed/>
    <w:rsid w:val="00C411C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1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411C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11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F443749883DA68514788632C9EE0C114A166072211F9813F5F4123DECA19AF84C62078535o0f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AC2C2EE7D78B44F441F110740E38A22B2ED7B2381F38E00B67F129F018694A80D0EE55CBC17DHE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AC2C2EE7D78B44F441F110740E38A22B2ED7B2381F38E00B67F129F018694A80D0EE55CBC17DH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07970&amp;rnd=299965.664319940&amp;dst=10008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2018-01-17T06:43:00Z</dcterms:created>
  <dcterms:modified xsi:type="dcterms:W3CDTF">2018-02-19T05:59:00Z</dcterms:modified>
</cp:coreProperties>
</file>